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26"/>
        <w:tblW w:w="9600" w:type="dxa"/>
        <w:shd w:val="clear" w:color="auto" w:fill="FFFFFF"/>
        <w:tblCellMar>
          <w:left w:w="0" w:type="dxa"/>
          <w:right w:w="0" w:type="dxa"/>
        </w:tblCellMar>
        <w:tblLook w:val="04A0" w:firstRow="1" w:lastRow="0" w:firstColumn="1" w:lastColumn="0" w:noHBand="0" w:noVBand="1"/>
      </w:tblPr>
      <w:tblGrid>
        <w:gridCol w:w="3628"/>
        <w:gridCol w:w="5972"/>
      </w:tblGrid>
      <w:tr w:rsidR="00FC6531" w:rsidRPr="00FC6531" w:rsidTr="00FC6531">
        <w:tc>
          <w:tcPr>
            <w:tcW w:w="3628" w:type="dxa"/>
            <w:shd w:val="clear" w:color="auto" w:fill="FFFFFF"/>
            <w:tcMar>
              <w:top w:w="60" w:type="dxa"/>
              <w:left w:w="60" w:type="dxa"/>
              <w:bottom w:w="60" w:type="dxa"/>
              <w:right w:w="60" w:type="dxa"/>
            </w:tcMar>
            <w:vAlign w:val="center"/>
            <w:hideMark/>
          </w:tcPr>
          <w:p w:rsidR="00FC6531" w:rsidRPr="00FC6531" w:rsidRDefault="00FC6531" w:rsidP="00FC6531">
            <w:pPr>
              <w:spacing w:before="0" w:after="0" w:line="240" w:lineRule="auto"/>
              <w:jc w:val="center"/>
              <w:rPr>
                <w:rFonts w:eastAsia="Times New Roman" w:cs="Times New Roman"/>
                <w:sz w:val="24"/>
                <w:szCs w:val="24"/>
              </w:rPr>
            </w:pPr>
            <w:r w:rsidRPr="00FC6531">
              <w:rPr>
                <w:rFonts w:eastAsia="Times New Roman" w:cs="Times New Roman"/>
                <w:b/>
                <w:bCs/>
                <w:sz w:val="24"/>
                <w:szCs w:val="24"/>
                <w:bdr w:val="none" w:sz="0" w:space="0" w:color="auto" w:frame="1"/>
              </w:rPr>
              <w:t>BỘ Y TẾ</w:t>
            </w:r>
            <w:r w:rsidRPr="00FC6531">
              <w:rPr>
                <w:rFonts w:eastAsia="Times New Roman" w:cs="Times New Roman"/>
                <w:b/>
                <w:bCs/>
                <w:sz w:val="24"/>
                <w:szCs w:val="24"/>
                <w:bdr w:val="none" w:sz="0" w:space="0" w:color="auto" w:frame="1"/>
              </w:rPr>
              <w:br/>
              <w:t>-------</w:t>
            </w:r>
          </w:p>
        </w:tc>
        <w:tc>
          <w:tcPr>
            <w:tcW w:w="5972" w:type="dxa"/>
            <w:shd w:val="clear" w:color="auto" w:fill="FFFFFF"/>
            <w:tcMar>
              <w:top w:w="60" w:type="dxa"/>
              <w:left w:w="60" w:type="dxa"/>
              <w:bottom w:w="60" w:type="dxa"/>
              <w:right w:w="60" w:type="dxa"/>
            </w:tcMar>
            <w:vAlign w:val="center"/>
            <w:hideMark/>
          </w:tcPr>
          <w:p w:rsidR="00FC6531" w:rsidRPr="00FC6531" w:rsidRDefault="00FC6531" w:rsidP="00FC6531">
            <w:pPr>
              <w:spacing w:before="0" w:after="0" w:line="240" w:lineRule="auto"/>
              <w:jc w:val="center"/>
              <w:rPr>
                <w:rFonts w:eastAsia="Times New Roman" w:cs="Times New Roman"/>
                <w:sz w:val="24"/>
                <w:szCs w:val="24"/>
              </w:rPr>
            </w:pPr>
            <w:r w:rsidRPr="00FC6531">
              <w:rPr>
                <w:rFonts w:eastAsia="Times New Roman" w:cs="Times New Roman"/>
                <w:b/>
                <w:bCs/>
                <w:sz w:val="24"/>
                <w:szCs w:val="24"/>
                <w:bdr w:val="none" w:sz="0" w:space="0" w:color="auto" w:frame="1"/>
              </w:rPr>
              <w:t>CỘNG HÒA XÃ HỘI CHỦ NGHĨA VIỆT NAM</w:t>
            </w:r>
            <w:r w:rsidRPr="00FC6531">
              <w:rPr>
                <w:rFonts w:eastAsia="Times New Roman" w:cs="Times New Roman"/>
                <w:b/>
                <w:bCs/>
                <w:sz w:val="24"/>
                <w:szCs w:val="24"/>
                <w:bdr w:val="none" w:sz="0" w:space="0" w:color="auto" w:frame="1"/>
              </w:rPr>
              <w:br/>
              <w:t>Độc lập - Tự do - Hạnh phúc</w:t>
            </w:r>
            <w:r w:rsidRPr="00FC6531">
              <w:rPr>
                <w:rFonts w:eastAsia="Times New Roman" w:cs="Times New Roman"/>
                <w:b/>
                <w:bCs/>
                <w:sz w:val="24"/>
                <w:szCs w:val="24"/>
                <w:bdr w:val="none" w:sz="0" w:space="0" w:color="auto" w:frame="1"/>
              </w:rPr>
              <w:br/>
              <w:t>---------------</w:t>
            </w:r>
          </w:p>
        </w:tc>
      </w:tr>
      <w:tr w:rsidR="00FC6531" w:rsidRPr="00FC6531" w:rsidTr="00FC6531">
        <w:tc>
          <w:tcPr>
            <w:tcW w:w="3628" w:type="dxa"/>
            <w:shd w:val="clear" w:color="auto" w:fill="FFFFFF"/>
            <w:tcMar>
              <w:top w:w="60" w:type="dxa"/>
              <w:left w:w="60" w:type="dxa"/>
              <w:bottom w:w="60" w:type="dxa"/>
              <w:right w:w="60" w:type="dxa"/>
            </w:tcMar>
            <w:vAlign w:val="center"/>
            <w:hideMark/>
          </w:tcPr>
          <w:p w:rsidR="00FC6531" w:rsidRPr="00FC6531" w:rsidRDefault="00FC6531" w:rsidP="00FC6531">
            <w:pPr>
              <w:spacing w:before="0" w:after="0" w:line="240" w:lineRule="auto"/>
              <w:jc w:val="center"/>
              <w:rPr>
                <w:rFonts w:eastAsia="Times New Roman" w:cs="Times New Roman"/>
                <w:sz w:val="24"/>
                <w:szCs w:val="24"/>
              </w:rPr>
            </w:pPr>
            <w:r w:rsidRPr="00FC6531">
              <w:rPr>
                <w:rFonts w:eastAsia="Times New Roman" w:cs="Times New Roman"/>
                <w:sz w:val="24"/>
                <w:szCs w:val="24"/>
              </w:rPr>
              <w:t>Số: 762/BYT-DP</w:t>
            </w:r>
            <w:r w:rsidRPr="00FC6531">
              <w:rPr>
                <w:rFonts w:eastAsia="Times New Roman" w:cs="Times New Roman"/>
                <w:sz w:val="24"/>
                <w:szCs w:val="24"/>
              </w:rPr>
              <w:br/>
            </w:r>
            <w:r w:rsidRPr="00FC6531">
              <w:rPr>
                <w:rFonts w:eastAsia="Times New Roman" w:cs="Times New Roman"/>
                <w:i/>
                <w:iCs/>
                <w:sz w:val="24"/>
                <w:szCs w:val="24"/>
                <w:bdr w:val="none" w:sz="0" w:space="0" w:color="auto" w:frame="1"/>
              </w:rPr>
              <w:t>V/v cách ly y tế đối với ca bệnh COVID-19 và các trường hợp tiếp xúc gần.</w:t>
            </w:r>
          </w:p>
        </w:tc>
        <w:tc>
          <w:tcPr>
            <w:tcW w:w="5972" w:type="dxa"/>
            <w:shd w:val="clear" w:color="auto" w:fill="FFFFFF"/>
            <w:tcMar>
              <w:top w:w="60" w:type="dxa"/>
              <w:left w:w="60" w:type="dxa"/>
              <w:bottom w:w="60" w:type="dxa"/>
              <w:right w:w="60" w:type="dxa"/>
            </w:tcMar>
            <w:vAlign w:val="center"/>
            <w:hideMark/>
          </w:tcPr>
          <w:p w:rsidR="00FC6531" w:rsidRPr="00FC6531" w:rsidRDefault="00FC6531" w:rsidP="00FC6531">
            <w:pPr>
              <w:spacing w:before="0" w:after="0" w:line="240" w:lineRule="auto"/>
              <w:jc w:val="center"/>
              <w:rPr>
                <w:rFonts w:eastAsia="Times New Roman" w:cs="Times New Roman"/>
                <w:sz w:val="24"/>
                <w:szCs w:val="24"/>
              </w:rPr>
            </w:pPr>
            <w:r w:rsidRPr="00FC6531">
              <w:rPr>
                <w:rFonts w:eastAsia="Times New Roman" w:cs="Times New Roman"/>
                <w:i/>
                <w:iCs/>
                <w:sz w:val="24"/>
                <w:szCs w:val="24"/>
                <w:bdr w:val="none" w:sz="0" w:space="0" w:color="auto" w:frame="1"/>
              </w:rPr>
              <w:t>Hà Nội, ngày 21 tháng 02 năm 2022</w:t>
            </w:r>
          </w:p>
        </w:tc>
      </w:tr>
    </w:tbl>
    <w:p w:rsidR="00FC6531" w:rsidRPr="00FC6531" w:rsidRDefault="00FC6531" w:rsidP="00FC6531">
      <w:pPr>
        <w:shd w:val="clear" w:color="auto" w:fill="FFFFFF"/>
        <w:spacing w:before="0" w:after="0" w:line="360" w:lineRule="atLeast"/>
        <w:outlineLvl w:val="1"/>
        <w:rPr>
          <w:rFonts w:ascii="Arial" w:eastAsia="Times New Roman" w:hAnsi="Arial" w:cs="Arial"/>
          <w:b/>
          <w:bCs/>
          <w:color w:val="003399"/>
          <w:sz w:val="36"/>
          <w:szCs w:val="36"/>
        </w:rPr>
      </w:pPr>
    </w:p>
    <w:p w:rsidR="00FC6531" w:rsidRPr="00FC6531" w:rsidRDefault="00FC6531" w:rsidP="00FC6531">
      <w:pPr>
        <w:spacing w:before="0" w:after="0" w:line="240" w:lineRule="auto"/>
        <w:rPr>
          <w:rFonts w:eastAsia="Times New Roman" w:cs="Times New Roman"/>
          <w:vanish/>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965"/>
        <w:gridCol w:w="5823"/>
      </w:tblGrid>
      <w:tr w:rsidR="00FC6531" w:rsidRPr="00FC6531" w:rsidTr="00FC6531">
        <w:tc>
          <w:tcPr>
            <w:tcW w:w="2985" w:type="dxa"/>
            <w:shd w:val="clear" w:color="auto" w:fill="FFFFFF"/>
            <w:tcMar>
              <w:top w:w="60" w:type="dxa"/>
              <w:left w:w="60" w:type="dxa"/>
              <w:bottom w:w="60" w:type="dxa"/>
              <w:right w:w="60" w:type="dxa"/>
            </w:tcMar>
            <w:vAlign w:val="center"/>
            <w:hideMark/>
          </w:tcPr>
          <w:p w:rsidR="00FC6531" w:rsidRPr="00FC6531" w:rsidRDefault="00FC6531" w:rsidP="00067978">
            <w:pPr>
              <w:spacing w:before="0" w:after="0" w:line="240" w:lineRule="auto"/>
              <w:jc w:val="both"/>
              <w:rPr>
                <w:rFonts w:eastAsia="Times New Roman" w:cs="Times New Roman"/>
                <w:sz w:val="24"/>
                <w:szCs w:val="24"/>
              </w:rPr>
            </w:pPr>
            <w:r w:rsidRPr="00FC6531">
              <w:rPr>
                <w:rFonts w:eastAsia="Times New Roman" w:cs="Times New Roman"/>
                <w:b/>
                <w:bCs/>
                <w:sz w:val="24"/>
                <w:szCs w:val="24"/>
                <w:bdr w:val="none" w:sz="0" w:space="0" w:color="auto" w:frame="1"/>
              </w:rPr>
              <w:t>Kính gửi:</w:t>
            </w:r>
          </w:p>
        </w:tc>
        <w:tc>
          <w:tcPr>
            <w:tcW w:w="5865" w:type="dxa"/>
            <w:shd w:val="clear" w:color="auto" w:fill="FFFFFF"/>
            <w:tcMar>
              <w:top w:w="60" w:type="dxa"/>
              <w:left w:w="60" w:type="dxa"/>
              <w:bottom w:w="60" w:type="dxa"/>
              <w:right w:w="60" w:type="dxa"/>
            </w:tcMar>
            <w:vAlign w:val="center"/>
            <w:hideMark/>
          </w:tcPr>
          <w:p w:rsidR="00FC6531" w:rsidRPr="00FC6531" w:rsidRDefault="00FC6531" w:rsidP="00067978">
            <w:pPr>
              <w:spacing w:before="0" w:after="0" w:line="240" w:lineRule="auto"/>
              <w:jc w:val="both"/>
              <w:rPr>
                <w:rFonts w:eastAsia="Times New Roman" w:cs="Times New Roman"/>
                <w:sz w:val="24"/>
                <w:szCs w:val="24"/>
              </w:rPr>
            </w:pPr>
            <w:r w:rsidRPr="00FC6531">
              <w:rPr>
                <w:rFonts w:eastAsia="Times New Roman" w:cs="Times New Roman"/>
                <w:sz w:val="24"/>
                <w:szCs w:val="24"/>
              </w:rPr>
              <w:t>- Giám đốc Sở Y tế các tỉnh, thành phố trực thuộc Trung ương;</w:t>
            </w:r>
            <w:r w:rsidRPr="00FC6531">
              <w:rPr>
                <w:rFonts w:eastAsia="Times New Roman" w:cs="Times New Roman"/>
                <w:sz w:val="24"/>
                <w:szCs w:val="24"/>
              </w:rPr>
              <w:br/>
              <w:t>- Thủ trưởng các đơn vị thuộc, trực thuộc Bộ Y tế.</w:t>
            </w:r>
          </w:p>
        </w:tc>
      </w:tr>
    </w:tbl>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Thực hiện Nghị quyết số 128/NQ-CP ngày 11 tháng 10 năm 2021 của Chính phủ ban hành Quy định tạm thời "Thích ứng an toàn, linh hoạt, kiểm soát hiệu quả dịch COVID-19", căn cứ tình hình dịch bệnh hiện nay trên thế giới và tại Việt Nam, tỷ lệ bao phủ vắc xin phòng COVID-19 cao trên phạm vi toàn quốc, nhằm hài hòa giữa việc phát triển kinh tế và kiểm soát hiệu quả dịch COVID-19 tại các cơ quan, xí nghiệp, trường học, địa phương, Bộ Y tế yêu cầu Giám đốc Sở Y tế các tỉnh, thành phố trực thuộc Trung ương, Thủ trưởng các đơn vị thuộc, trực thuộc Bộ Y tế tổ chức việc cách ly y tế với các ca bệnh COVID-19 (F0) và những người tiếp xúc gần (F1) phù hợp với điều kiện và nguồn lực của các địa phương, cụ thể như sau:</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1. Cách ly đối với các trường hợp tiếp xúc gần với ca bệnh xác định COVID-19 (F1)</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1.1. Việc xác định người tiếp xúc gần (F1) được thực hiện theo quy định tại Công văn số 11042/BYT-DP ngày 29/12/2021 về việc điều chỉnh định nghĩa ca bệnh COVID-19 (Phụ lục kèm theo).</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1.2. Cách ly đối với các trường hợp tiếp xúc gần với ca bệnh xác định COVID-19 (F1)</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a) Những người đã tiêm đủ ít nhất 02 liều vắc xin phòng COVID-19 (được ghi trên giấy xác nhận đã tiêm vắc xin COVID-19, phần mềm ứng dụng Sổ sức khỏe điện tử hoặc PC-Covid) theo quy định, liều cuối cùng tiêm trong thời gian ít nhất 14 ngày hoặc đã khỏi bệnh COVID-19 trong vòng 03 tháng tính đến thời điểm được xác định là đối tượng F1 (có giấy ra viện/giấy xác nhận khỏi bệnh COVID-19):</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Thực hiện cách ly y tế 05 ngày tại nhà, nơi lưu trú hoặc các khu vực đủ điều kiện cách ly khác do cơ quan, tổ chức, đơn vị địa phương, trường học bố trí, thiết lập1 kể từ ngày phơi nhiễm cuối cùng; thực hiện xét nghiệm vi rút SARS-CoV-2 bằng phương pháp PCR, kháng nguyên (xét nghiệm nhanh kháng nguyên hoặc bằng máy miễn dịch) vào ngày cách ly thứ 5 do nhân viên y tế thực hiện hoặc người cách ly tự thực hiện dưới sự giám sát của nhân viên y tế bằng ít nhất một trong các hình thức trực tiếp hoặc gián tiếp qua các phương tiện từ xa. Nếu kết quả âm tính thì tiếp tục tự theo dõi sức khoẻ trong 05 ngày tiếp theo và nghiêm túc thực hiện Thông điệp 5K, nếu có dấu hiệu bất thường về sức khỏe (sốt; ho; đau họng; chảy nước mũi, nghẹt mũi; đau người, mệt mỏi, ớn lạnh; giảm hoặc mất vị giác; giảm hoặc mất khứu giác; đau, nhức đầu; tiêu chảy; khó thở; viêm đường hô hấp) thì báo cho cơ quan y tế để theo dõi, xét nghiệm và xử trí theo quy định.</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b) Những người chưa tiêm đủ liều vắc xin phòng COVID-19 hoặc chưa tiêm vắc xin phòng COVID-19:</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Thực hiện cách ly y tế 07 ngày tại nhà, nơi lưu trú hoặc các khu vực đủ điều kiện cách ly khác do cơ quan, tổ chức, đơn vị địa phương, trường học bố trí, thiết lập </w:t>
      </w:r>
      <w:r w:rsidRPr="00FC6531">
        <w:rPr>
          <w:rFonts w:eastAsia="Times New Roman" w:cs="Times New Roman"/>
          <w:sz w:val="24"/>
          <w:szCs w:val="24"/>
          <w:bdr w:val="none" w:sz="0" w:space="0" w:color="auto" w:frame="1"/>
          <w:vertAlign w:val="superscript"/>
        </w:rPr>
        <w:t>1</w:t>
      </w:r>
      <w:r w:rsidRPr="00FC6531">
        <w:rPr>
          <w:rFonts w:eastAsia="Times New Roman" w:cs="Times New Roman"/>
          <w:sz w:val="24"/>
          <w:szCs w:val="24"/>
        </w:rPr>
        <w:t xml:space="preserve"> kể từ ngày phơi nhiễm cuối cùng; thực hiện xét nghiệm vi rút SARS-CoV-2 bằng phương pháp PCR hoặc kháng nguyên (xét nghiệm nhanh kháng nguyên hoặc bằng máy miễn dịch) vào ngày cách ly thứ 7 do nhân viên y tế thực hiện hoặc người cách ly tự thực hiện dưới sự giám sát của nhân viên y tế bằng ít nhất một trong các hình thức trực tiếp hoặc gián tiếp qua các phương tiện từ xa. Nếu kết quả âm tính thì tiếp tục tự theo dõi sức khoẻ trong 03 ngày tiếp theo và nghiêm túc thực hiện Thông điệp 5K, nếu có dấu hiệu bất thường về sức khỏe (sốt; ho; đau </w:t>
      </w:r>
      <w:r w:rsidRPr="00FC6531">
        <w:rPr>
          <w:rFonts w:eastAsia="Times New Roman" w:cs="Times New Roman"/>
          <w:sz w:val="24"/>
          <w:szCs w:val="24"/>
        </w:rPr>
        <w:lastRenderedPageBreak/>
        <w:t>họng; chảy nước mũi, nghẹt mũi; đau người, mệt mỏi, ớn lạnh; giảm hoặc mất vị giác; giảm hoặc mất khứu giác; đau, nhức đầu; tiêu chảy; khó thở; viêm đường hô hấp) thì báo cho cơ quan y tế để theo dõi, xét nghiệm và xử trí theo quy định.</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2. Cách ly đối với các ca bệnh COVID-19</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Thực hiện theo hướng dẫn tại Quyết định số 250/QĐ-BYT ngày 28/01/2022 của Bộ Y tế về việc ban hành Hướng dẫn chẩn đoán và điều trị COVID-19.</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Việc thực hiện các biện pháp phòng chống dịch COVID-19 cần phải đảm bảo đồng bộ các biện pháp y tế, hành chính và kinh tế xã hội, được thực hiện nghiêm túc, quyết liệt từ mỗi cá nhân, gia đình đến các cơ quan, tổ chức, xí nghiệp, trường học, địa phương.</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Công văn này thay thế Công văn số 10696/BYT-MT ngày 16/12/2021 của Bộ Y tế về việc cách ly y tế cho trường hợp F1 đã tiêm đủ liều vắc xin hoặc đã khỏi bệnh COVID-19.</w:t>
      </w:r>
    </w:p>
    <w:p w:rsidR="00FC6531" w:rsidRPr="00FC6531" w:rsidRDefault="00FC6531" w:rsidP="00067978">
      <w:pPr>
        <w:shd w:val="clear" w:color="auto" w:fill="FFFFFF"/>
        <w:spacing w:before="0" w:after="0" w:line="240" w:lineRule="auto"/>
        <w:jc w:val="both"/>
        <w:rPr>
          <w:rFonts w:eastAsia="Times New Roman" w:cs="Times New Roman"/>
          <w:sz w:val="24"/>
          <w:szCs w:val="24"/>
        </w:rPr>
      </w:pPr>
      <w:r w:rsidRPr="00FC6531">
        <w:rPr>
          <w:rFonts w:eastAsia="Times New Roman" w:cs="Times New Roman"/>
          <w:sz w:val="24"/>
          <w:szCs w:val="24"/>
        </w:rPr>
        <w:t>Đề nghị các đồng chí Giám đốc Sở Y tế các tỉnh, thành phố trực thuộc Trung ương, Thủ trưởng các đơn vị trực thuộc Bộ Y tế và các đơn vị c</w:t>
      </w:r>
      <w:bookmarkStart w:id="0" w:name="_GoBack"/>
      <w:bookmarkEnd w:id="0"/>
      <w:r w:rsidRPr="00FC6531">
        <w:rPr>
          <w:rFonts w:eastAsia="Times New Roman" w:cs="Times New Roman"/>
          <w:sz w:val="24"/>
          <w:szCs w:val="24"/>
        </w:rPr>
        <w:t>ó liên quan khẩn trương triển khai thực hiện. Trong quá trình thực hiện nếu có khó khăn, vướng mắc, đề nghị các đơn vị phản ánh về Bộ Y tế (Cục Y tế dự phòng) để nghiên cứu, cập nhật, bổ sung, sửa đổi./.</w:t>
      </w:r>
    </w:p>
    <w:tbl>
      <w:tblPr>
        <w:tblW w:w="9600" w:type="dxa"/>
        <w:shd w:val="clear" w:color="auto" w:fill="FFFFFF"/>
        <w:tblCellMar>
          <w:left w:w="0" w:type="dxa"/>
          <w:right w:w="0" w:type="dxa"/>
        </w:tblCellMar>
        <w:tblLook w:val="04A0" w:firstRow="1" w:lastRow="0" w:firstColumn="1" w:lastColumn="0" w:noHBand="0" w:noVBand="1"/>
      </w:tblPr>
      <w:tblGrid>
        <w:gridCol w:w="4800"/>
        <w:gridCol w:w="4800"/>
      </w:tblGrid>
      <w:tr w:rsidR="00FC6531" w:rsidRPr="00FC6531" w:rsidTr="00FC6531">
        <w:tc>
          <w:tcPr>
            <w:tcW w:w="4425" w:type="dxa"/>
            <w:shd w:val="clear" w:color="auto" w:fill="FFFFFF"/>
            <w:tcMar>
              <w:top w:w="60" w:type="dxa"/>
              <w:left w:w="60" w:type="dxa"/>
              <w:bottom w:w="60" w:type="dxa"/>
              <w:right w:w="60" w:type="dxa"/>
            </w:tcMar>
            <w:vAlign w:val="center"/>
            <w:hideMark/>
          </w:tcPr>
          <w:p w:rsidR="00FC6531" w:rsidRPr="00FC6531" w:rsidRDefault="00FC6531" w:rsidP="00FC6531">
            <w:pPr>
              <w:spacing w:before="0" w:after="0" w:line="240" w:lineRule="auto"/>
              <w:rPr>
                <w:rFonts w:eastAsia="Times New Roman" w:cs="Times New Roman"/>
                <w:sz w:val="24"/>
                <w:szCs w:val="24"/>
              </w:rPr>
            </w:pPr>
            <w:r w:rsidRPr="00FC6531">
              <w:rPr>
                <w:rFonts w:eastAsia="Times New Roman" w:cs="Times New Roman"/>
                <w:b/>
                <w:bCs/>
                <w:i/>
                <w:iCs/>
                <w:sz w:val="24"/>
                <w:szCs w:val="24"/>
                <w:bdr w:val="none" w:sz="0" w:space="0" w:color="auto" w:frame="1"/>
              </w:rPr>
              <w:t>Nơi nhận:</w:t>
            </w:r>
            <w:r w:rsidRPr="00FC6531">
              <w:rPr>
                <w:rFonts w:eastAsia="Times New Roman" w:cs="Times New Roman"/>
                <w:b/>
                <w:bCs/>
                <w:i/>
                <w:iCs/>
                <w:sz w:val="24"/>
                <w:szCs w:val="24"/>
                <w:bdr w:val="none" w:sz="0" w:space="0" w:color="auto" w:frame="1"/>
              </w:rPr>
              <w:br/>
            </w:r>
            <w:r w:rsidRPr="00FC6531">
              <w:rPr>
                <w:rFonts w:eastAsia="Times New Roman" w:cs="Times New Roman"/>
                <w:sz w:val="24"/>
                <w:szCs w:val="24"/>
              </w:rPr>
              <w:t>- Như trên;</w:t>
            </w:r>
            <w:r w:rsidRPr="00FC6531">
              <w:rPr>
                <w:rFonts w:eastAsia="Times New Roman" w:cs="Times New Roman"/>
                <w:sz w:val="24"/>
                <w:szCs w:val="24"/>
              </w:rPr>
              <w:br/>
              <w:t>- PTTg. Vũ Đức Đam (để báo cáo);</w:t>
            </w:r>
            <w:r w:rsidRPr="00FC6531">
              <w:rPr>
                <w:rFonts w:eastAsia="Times New Roman" w:cs="Times New Roman"/>
                <w:sz w:val="24"/>
                <w:szCs w:val="24"/>
              </w:rPr>
              <w:br/>
              <w:t>- Đồng chí Bộ trưởng (để báo cáo);</w:t>
            </w:r>
            <w:r w:rsidRPr="00FC6531">
              <w:rPr>
                <w:rFonts w:eastAsia="Times New Roman" w:cs="Times New Roman"/>
                <w:sz w:val="24"/>
                <w:szCs w:val="24"/>
              </w:rPr>
              <w:br/>
              <w:t>- Các đồng chí Thứ trưởng;</w:t>
            </w:r>
            <w:r w:rsidRPr="00FC6531">
              <w:rPr>
                <w:rFonts w:eastAsia="Times New Roman" w:cs="Times New Roman"/>
                <w:sz w:val="24"/>
                <w:szCs w:val="24"/>
              </w:rPr>
              <w:br/>
              <w:t>- Văn phòng Chính phủ;</w:t>
            </w:r>
            <w:r w:rsidRPr="00FC6531">
              <w:rPr>
                <w:rFonts w:eastAsia="Times New Roman" w:cs="Times New Roman"/>
                <w:sz w:val="24"/>
                <w:szCs w:val="24"/>
              </w:rPr>
              <w:br/>
              <w:t>- UBND các tỉnh, thành phố;</w:t>
            </w:r>
            <w:r w:rsidRPr="00FC6531">
              <w:rPr>
                <w:rFonts w:eastAsia="Times New Roman" w:cs="Times New Roman"/>
                <w:sz w:val="24"/>
                <w:szCs w:val="24"/>
              </w:rPr>
              <w:br/>
              <w:t>- Trung tâm KSBT các tỉnh, thành phố;</w:t>
            </w:r>
            <w:r w:rsidRPr="00FC6531">
              <w:rPr>
                <w:rFonts w:eastAsia="Times New Roman" w:cs="Times New Roman"/>
                <w:sz w:val="24"/>
                <w:szCs w:val="24"/>
              </w:rPr>
              <w:br/>
              <w:t>- Lưu: VT, DP.</w:t>
            </w:r>
          </w:p>
        </w:tc>
        <w:tc>
          <w:tcPr>
            <w:tcW w:w="4425" w:type="dxa"/>
            <w:shd w:val="clear" w:color="auto" w:fill="FFFFFF"/>
            <w:tcMar>
              <w:top w:w="60" w:type="dxa"/>
              <w:left w:w="60" w:type="dxa"/>
              <w:bottom w:w="60" w:type="dxa"/>
              <w:right w:w="60" w:type="dxa"/>
            </w:tcMar>
            <w:vAlign w:val="center"/>
            <w:hideMark/>
          </w:tcPr>
          <w:p w:rsidR="00FC6531" w:rsidRPr="00FC6531" w:rsidRDefault="00FC6531" w:rsidP="00FC6531">
            <w:pPr>
              <w:spacing w:before="0" w:after="0" w:line="240" w:lineRule="auto"/>
              <w:jc w:val="center"/>
              <w:rPr>
                <w:rFonts w:eastAsia="Times New Roman" w:cs="Times New Roman"/>
                <w:sz w:val="24"/>
                <w:szCs w:val="24"/>
              </w:rPr>
            </w:pPr>
            <w:r w:rsidRPr="00FC6531">
              <w:rPr>
                <w:rFonts w:eastAsia="Times New Roman" w:cs="Times New Roman"/>
                <w:b/>
                <w:bCs/>
                <w:sz w:val="24"/>
                <w:szCs w:val="24"/>
                <w:bdr w:val="none" w:sz="0" w:space="0" w:color="auto" w:frame="1"/>
              </w:rPr>
              <w:t>KT. BỘ TRƯỞNG</w:t>
            </w:r>
            <w:r w:rsidRPr="00FC6531">
              <w:rPr>
                <w:rFonts w:eastAsia="Times New Roman" w:cs="Times New Roman"/>
                <w:b/>
                <w:bCs/>
                <w:sz w:val="24"/>
                <w:szCs w:val="24"/>
                <w:bdr w:val="none" w:sz="0" w:space="0" w:color="auto" w:frame="1"/>
              </w:rPr>
              <w:br/>
              <w:t>THỨ TRƯỞNG</w:t>
            </w:r>
            <w:r w:rsidRPr="00FC6531">
              <w:rPr>
                <w:rFonts w:eastAsia="Times New Roman" w:cs="Times New Roman"/>
                <w:b/>
                <w:bCs/>
                <w:sz w:val="24"/>
                <w:szCs w:val="24"/>
                <w:bdr w:val="none" w:sz="0" w:space="0" w:color="auto" w:frame="1"/>
              </w:rPr>
              <w:br/>
            </w:r>
            <w:r w:rsidRPr="00FC6531">
              <w:rPr>
                <w:rFonts w:eastAsia="Times New Roman" w:cs="Times New Roman"/>
                <w:b/>
                <w:bCs/>
                <w:sz w:val="24"/>
                <w:szCs w:val="24"/>
                <w:bdr w:val="none" w:sz="0" w:space="0" w:color="auto" w:frame="1"/>
              </w:rPr>
              <w:br/>
            </w:r>
            <w:r w:rsidRPr="00FC6531">
              <w:rPr>
                <w:rFonts w:eastAsia="Times New Roman" w:cs="Times New Roman"/>
                <w:b/>
                <w:bCs/>
                <w:sz w:val="24"/>
                <w:szCs w:val="24"/>
                <w:bdr w:val="none" w:sz="0" w:space="0" w:color="auto" w:frame="1"/>
              </w:rPr>
              <w:br/>
            </w:r>
          </w:p>
          <w:p w:rsidR="00FC6531" w:rsidRPr="00FC6531" w:rsidRDefault="00FC6531" w:rsidP="00FC6531">
            <w:pPr>
              <w:spacing w:before="0" w:after="0" w:line="240" w:lineRule="auto"/>
              <w:jc w:val="center"/>
              <w:rPr>
                <w:rFonts w:eastAsia="Times New Roman" w:cs="Times New Roman"/>
                <w:sz w:val="24"/>
                <w:szCs w:val="24"/>
              </w:rPr>
            </w:pPr>
            <w:r w:rsidRPr="00FC6531">
              <w:rPr>
                <w:rFonts w:eastAsia="Times New Roman" w:cs="Times New Roman"/>
                <w:b/>
                <w:bCs/>
                <w:sz w:val="24"/>
                <w:szCs w:val="24"/>
                <w:bdr w:val="none" w:sz="0" w:space="0" w:color="auto" w:frame="1"/>
              </w:rPr>
              <w:br/>
              <w:t>Nguyễn Trường Sơn</w:t>
            </w:r>
          </w:p>
        </w:tc>
      </w:tr>
    </w:tbl>
    <w:p w:rsidR="00EC3190" w:rsidRDefault="00EC3190"/>
    <w:sectPr w:rsidR="00EC3190" w:rsidSect="001E7F2D">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31"/>
    <w:rsid w:val="00067978"/>
    <w:rsid w:val="001E7F2D"/>
    <w:rsid w:val="00EC3190"/>
    <w:rsid w:val="00FC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26F1"/>
  <w15:chartTrackingRefBased/>
  <w15:docId w15:val="{DC0C0883-AE21-4D96-850F-2B4A296F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2022-02-22T15:09:00Z</dcterms:created>
  <dcterms:modified xsi:type="dcterms:W3CDTF">2022-02-22T15:10:00Z</dcterms:modified>
</cp:coreProperties>
</file>